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C22F3" w14:textId="77777777" w:rsidR="00A62F06" w:rsidRPr="0092160B" w:rsidRDefault="008C73B1" w:rsidP="0015675B">
      <w:pPr>
        <w:rPr>
          <w:rFonts w:cs="Arial"/>
          <w:sz w:val="24"/>
          <w:szCs w:val="24"/>
        </w:rPr>
      </w:pPr>
      <w:r w:rsidRPr="0092160B">
        <w:rPr>
          <w:b/>
          <w:sz w:val="24"/>
          <w:szCs w:val="24"/>
        </w:rPr>
        <w:t>À qui ce courriel s’adresse-t-il?</w:t>
      </w:r>
      <w:r w:rsidRPr="0092160B">
        <w:rPr>
          <w:sz w:val="24"/>
          <w:szCs w:val="24"/>
        </w:rPr>
        <w:t xml:space="preserve"> </w:t>
      </w:r>
    </w:p>
    <w:p w14:paraId="7AE5A9A7" w14:textId="77777777" w:rsidR="000B6FAC" w:rsidRPr="0092160B" w:rsidRDefault="008C73B1" w:rsidP="3543881B">
      <w:pPr>
        <w:rPr>
          <w:rFonts w:cs="Arial"/>
          <w:sz w:val="24"/>
          <w:szCs w:val="24"/>
        </w:rPr>
      </w:pPr>
      <w:r w:rsidRPr="0092160B">
        <w:rPr>
          <w:sz w:val="24"/>
          <w:szCs w:val="24"/>
        </w:rPr>
        <w:t>Les clients de votre base de données âgés de 55 ans et plus, qui ont actuellement un prêt hypothécaire inversé à renouveler auprès d’un prêteur autre que la Banque Équitable.</w:t>
      </w:r>
    </w:p>
    <w:p w14:paraId="57AA62A7" w14:textId="77777777" w:rsidR="0015675B" w:rsidRPr="0092160B" w:rsidRDefault="008C73B1" w:rsidP="0015675B">
      <w:pPr>
        <w:pStyle w:val="paragraph"/>
        <w:spacing w:before="0" w:beforeAutospacing="0" w:after="0" w:afterAutospacing="0"/>
        <w:textAlignment w:val="baseline"/>
        <w:rPr>
          <w:rFonts w:ascii="Arial" w:hAnsi="Arial" w:cs="Arial"/>
          <w:b/>
          <w:bCs/>
        </w:rPr>
      </w:pPr>
      <w:r w:rsidRPr="0092160B">
        <w:rPr>
          <w:rStyle w:val="normaltextrun"/>
          <w:rFonts w:ascii="Arial" w:hAnsi="Arial"/>
          <w:b/>
        </w:rPr>
        <w:t>Instructions pour envoyer le courriel</w:t>
      </w:r>
      <w:r w:rsidRPr="0092160B">
        <w:rPr>
          <w:rFonts w:ascii="Arial" w:hAnsi="Arial"/>
          <w:b/>
        </w:rPr>
        <w:t> </w:t>
      </w:r>
      <w:r w:rsidRPr="0092160B">
        <w:rPr>
          <w:rStyle w:val="eop"/>
          <w:rFonts w:ascii="Arial" w:hAnsi="Arial"/>
          <w:b/>
        </w:rPr>
        <w:t>:</w:t>
      </w:r>
      <w:r w:rsidRPr="0092160B">
        <w:rPr>
          <w:rStyle w:val="eop"/>
          <w:rFonts w:ascii="Arial" w:hAnsi="Arial"/>
          <w:b/>
        </w:rPr>
        <w:br/>
      </w:r>
    </w:p>
    <w:p w14:paraId="3E978B97" w14:textId="77777777" w:rsidR="0015675B" w:rsidRPr="0092160B" w:rsidRDefault="008C73B1" w:rsidP="3543881B">
      <w:pPr>
        <w:pStyle w:val="paragraph"/>
        <w:numPr>
          <w:ilvl w:val="0"/>
          <w:numId w:val="1"/>
        </w:numPr>
        <w:tabs>
          <w:tab w:val="clear" w:pos="720"/>
        </w:tabs>
        <w:spacing w:before="0" w:beforeAutospacing="0" w:after="0" w:afterAutospacing="0"/>
        <w:ind w:left="0" w:firstLine="0"/>
        <w:textAlignment w:val="baseline"/>
        <w:rPr>
          <w:rStyle w:val="eop"/>
          <w:rFonts w:ascii="Arial" w:eastAsiaTheme="majorEastAsia" w:hAnsi="Arial" w:cs="Arial"/>
        </w:rPr>
      </w:pPr>
      <w:r w:rsidRPr="0092160B">
        <w:rPr>
          <w:rStyle w:val="normaltextrun"/>
          <w:rFonts w:ascii="Arial" w:hAnsi="Arial"/>
        </w:rPr>
        <w:t>Copiez et collez le texte ci-dessous dans votre système de courriel.</w:t>
      </w:r>
      <w:r w:rsidRPr="0092160B">
        <w:rPr>
          <w:rStyle w:val="eop"/>
          <w:rFonts w:ascii="Arial" w:hAnsi="Arial"/>
        </w:rPr>
        <w:t> </w:t>
      </w:r>
    </w:p>
    <w:p w14:paraId="56D30169" w14:textId="77777777" w:rsidR="0015675B" w:rsidRPr="0092160B" w:rsidRDefault="008C73B1" w:rsidP="0015675B">
      <w:pPr>
        <w:pStyle w:val="paragraph"/>
        <w:numPr>
          <w:ilvl w:val="0"/>
          <w:numId w:val="2"/>
        </w:numPr>
        <w:tabs>
          <w:tab w:val="clear" w:pos="720"/>
          <w:tab w:val="num" w:pos="-360"/>
        </w:tabs>
        <w:spacing w:before="0" w:beforeAutospacing="0" w:after="0" w:afterAutospacing="0"/>
        <w:ind w:left="0" w:firstLine="0"/>
        <w:textAlignment w:val="baseline"/>
        <w:rPr>
          <w:rFonts w:ascii="Arial" w:hAnsi="Arial" w:cs="Arial"/>
        </w:rPr>
      </w:pPr>
      <w:r w:rsidRPr="0092160B">
        <w:rPr>
          <w:rStyle w:val="normaltextrun"/>
          <w:rFonts w:ascii="Arial" w:hAnsi="Arial"/>
        </w:rPr>
        <w:t xml:space="preserve">Remplacez tout texte en </w:t>
      </w:r>
      <w:r w:rsidRPr="0092160B">
        <w:rPr>
          <w:rStyle w:val="normaltextrun"/>
          <w:rFonts w:ascii="Arial" w:hAnsi="Arial"/>
          <w:color w:val="FF0000"/>
        </w:rPr>
        <w:t>rouge</w:t>
      </w:r>
      <w:r w:rsidRPr="0092160B">
        <w:rPr>
          <w:rStyle w:val="normaltextrun"/>
          <w:rFonts w:ascii="Arial" w:hAnsi="Arial"/>
        </w:rPr>
        <w:t xml:space="preserve"> par l’information correspondante.</w:t>
      </w:r>
      <w:r w:rsidRPr="0092160B">
        <w:rPr>
          <w:rStyle w:val="eop"/>
          <w:rFonts w:ascii="Arial" w:hAnsi="Arial"/>
        </w:rPr>
        <w:t> </w:t>
      </w:r>
    </w:p>
    <w:p w14:paraId="77EA0603" w14:textId="77777777" w:rsidR="0015675B" w:rsidRPr="0092160B" w:rsidRDefault="008C73B1" w:rsidP="0015675B">
      <w:pPr>
        <w:pStyle w:val="paragraph"/>
        <w:numPr>
          <w:ilvl w:val="0"/>
          <w:numId w:val="3"/>
        </w:numPr>
        <w:tabs>
          <w:tab w:val="clear" w:pos="720"/>
          <w:tab w:val="num" w:pos="-360"/>
        </w:tabs>
        <w:spacing w:before="0" w:beforeAutospacing="0" w:after="0" w:afterAutospacing="0"/>
        <w:ind w:left="0" w:firstLine="0"/>
        <w:textAlignment w:val="baseline"/>
        <w:rPr>
          <w:rFonts w:ascii="Arial" w:hAnsi="Arial" w:cs="Arial"/>
        </w:rPr>
      </w:pPr>
      <w:r w:rsidRPr="0092160B">
        <w:rPr>
          <w:rStyle w:val="normaltextrun"/>
          <w:rFonts w:ascii="Arial" w:hAnsi="Arial"/>
        </w:rPr>
        <w:t>Ajoutez l’objet du courriel.</w:t>
      </w:r>
      <w:r w:rsidRPr="0092160B">
        <w:rPr>
          <w:rStyle w:val="eop"/>
          <w:rFonts w:ascii="Arial" w:hAnsi="Arial"/>
        </w:rPr>
        <w:t> </w:t>
      </w:r>
    </w:p>
    <w:p w14:paraId="67F59E5E" w14:textId="77777777" w:rsidR="0015675B" w:rsidRPr="0092160B" w:rsidRDefault="008C73B1" w:rsidP="0015675B">
      <w:pPr>
        <w:pStyle w:val="paragraph"/>
        <w:numPr>
          <w:ilvl w:val="0"/>
          <w:numId w:val="4"/>
        </w:numPr>
        <w:tabs>
          <w:tab w:val="clear" w:pos="720"/>
          <w:tab w:val="num" w:pos="-360"/>
        </w:tabs>
        <w:spacing w:before="0" w:beforeAutospacing="0" w:after="0" w:afterAutospacing="0"/>
        <w:ind w:left="0" w:firstLine="0"/>
        <w:textAlignment w:val="baseline"/>
        <w:rPr>
          <w:rFonts w:ascii="Arial" w:hAnsi="Arial" w:cs="Arial"/>
        </w:rPr>
      </w:pPr>
      <w:r w:rsidRPr="0092160B">
        <w:rPr>
          <w:rStyle w:val="normaltextrun"/>
          <w:rFonts w:ascii="Arial" w:hAnsi="Arial"/>
        </w:rPr>
        <w:t>Cliquez sur « Envoyer</w:t>
      </w:r>
      <w:r w:rsidRPr="0092160B">
        <w:rPr>
          <w:rStyle w:val="eop"/>
          <w:rFonts w:ascii="Arial" w:hAnsi="Arial"/>
        </w:rPr>
        <w:t> »</w:t>
      </w:r>
      <w:r w:rsidRPr="0092160B">
        <w:rPr>
          <w:rFonts w:ascii="Arial" w:hAnsi="Arial"/>
        </w:rPr>
        <w:t>.</w:t>
      </w:r>
    </w:p>
    <w:p w14:paraId="54C970F6" w14:textId="2B3955B3" w:rsidR="0015675B" w:rsidRPr="0092160B" w:rsidRDefault="008C73B1" w:rsidP="3543881B">
      <w:pPr>
        <w:autoSpaceDE w:val="0"/>
        <w:autoSpaceDN w:val="0"/>
        <w:adjustRightInd w:val="0"/>
        <w:rPr>
          <w:rFonts w:cs="Arial"/>
          <w:sz w:val="24"/>
          <w:szCs w:val="24"/>
        </w:rPr>
      </w:pPr>
      <w:r w:rsidRPr="0092160B">
        <w:rPr>
          <w:sz w:val="24"/>
          <w:szCs w:val="24"/>
        </w:rPr>
        <w:t>________________________________________________________________________________</w:t>
      </w:r>
    </w:p>
    <w:p w14:paraId="4EFF6E06" w14:textId="77777777" w:rsidR="004763BE" w:rsidRPr="0092160B" w:rsidRDefault="008C73B1" w:rsidP="3543881B">
      <w:pPr>
        <w:rPr>
          <w:rFonts w:cs="Arial"/>
          <w:sz w:val="24"/>
          <w:szCs w:val="24"/>
        </w:rPr>
      </w:pPr>
      <w:r w:rsidRPr="0092160B">
        <w:rPr>
          <w:sz w:val="24"/>
          <w:szCs w:val="24"/>
        </w:rPr>
        <w:br/>
      </w:r>
      <w:bookmarkStart w:id="0" w:name="_Hlk109990000"/>
      <w:r w:rsidRPr="0092160B">
        <w:rPr>
          <w:b/>
          <w:sz w:val="24"/>
          <w:szCs w:val="24"/>
        </w:rPr>
        <w:t>Objet du courriel :</w:t>
      </w:r>
      <w:r w:rsidRPr="0092160B">
        <w:rPr>
          <w:sz w:val="24"/>
          <w:szCs w:val="24"/>
        </w:rPr>
        <w:t xml:space="preserve"> Transférez votre prêt hypothécaire inversé et économisez!</w:t>
      </w:r>
    </w:p>
    <w:p w14:paraId="382CC228" w14:textId="77777777" w:rsidR="007078CC" w:rsidRPr="0092160B" w:rsidRDefault="008C73B1" w:rsidP="3543881B">
      <w:pPr>
        <w:rPr>
          <w:rFonts w:cs="Arial"/>
          <w:sz w:val="24"/>
          <w:szCs w:val="24"/>
        </w:rPr>
      </w:pPr>
      <w:r w:rsidRPr="0092160B">
        <w:rPr>
          <w:sz w:val="24"/>
          <w:szCs w:val="24"/>
        </w:rPr>
        <w:t>Bonjour [</w:t>
      </w:r>
      <w:r w:rsidRPr="0092160B">
        <w:rPr>
          <w:color w:val="FF0000"/>
          <w:sz w:val="24"/>
          <w:szCs w:val="24"/>
        </w:rPr>
        <w:t>Name</w:t>
      </w:r>
      <w:r w:rsidRPr="0092160B">
        <w:rPr>
          <w:sz w:val="24"/>
          <w:szCs w:val="24"/>
        </w:rPr>
        <w:t>],</w:t>
      </w:r>
    </w:p>
    <w:p w14:paraId="28215A8A" w14:textId="77777777" w:rsidR="000B6FAC" w:rsidRPr="0092160B" w:rsidRDefault="008C73B1" w:rsidP="000B6FAC">
      <w:pPr>
        <w:rPr>
          <w:rFonts w:cs="Arial"/>
          <w:sz w:val="24"/>
          <w:szCs w:val="24"/>
        </w:rPr>
      </w:pPr>
      <w:r w:rsidRPr="0092160B">
        <w:rPr>
          <w:sz w:val="24"/>
          <w:szCs w:val="24"/>
        </w:rPr>
        <w:t xml:space="preserve">Je communique avec vous pour vous offrir une excellente occasion d’économiser sur votre prêt hypothécaire inversé. </w:t>
      </w:r>
    </w:p>
    <w:p w14:paraId="229B2A17" w14:textId="77777777" w:rsidR="000B6FAC" w:rsidRPr="0092160B" w:rsidRDefault="008C73B1" w:rsidP="000B6FAC">
      <w:pPr>
        <w:rPr>
          <w:rFonts w:cs="Arial"/>
          <w:sz w:val="24"/>
          <w:szCs w:val="24"/>
        </w:rPr>
      </w:pPr>
      <w:r w:rsidRPr="0092160B">
        <w:rPr>
          <w:b/>
          <w:sz w:val="24"/>
          <w:szCs w:val="24"/>
        </w:rPr>
        <w:t>Transférez votre prêt hypothécaire inversé à la Banque Équitable et économisez</w:t>
      </w:r>
      <w:r w:rsidRPr="0092160B">
        <w:rPr>
          <w:sz w:val="24"/>
          <w:szCs w:val="24"/>
        </w:rPr>
        <w:t>. Grâce au programme Passage hypothèque inversée de la Banque Équitable, vous pourriez transférer votre prêt hypothécaire inversé actuel à renouveler, ce qui vous permettrait de faire des économies et de profiter des avantages des solutions de prêt hypothécaire inversé de la Banque Équitable.  </w:t>
      </w:r>
    </w:p>
    <w:p w14:paraId="35AA728C" w14:textId="77777777" w:rsidR="000B6FAC" w:rsidRPr="0092160B" w:rsidRDefault="008C73B1" w:rsidP="000B6FAC">
      <w:pPr>
        <w:rPr>
          <w:rFonts w:cs="Arial"/>
          <w:sz w:val="24"/>
          <w:szCs w:val="24"/>
        </w:rPr>
      </w:pPr>
      <w:r w:rsidRPr="0092160B">
        <w:rPr>
          <w:b/>
          <w:sz w:val="24"/>
          <w:szCs w:val="24"/>
        </w:rPr>
        <w:t>Caractéristiques du programme Passage hypothèque inversée</w:t>
      </w:r>
      <w:r w:rsidRPr="0092160B">
        <w:rPr>
          <w:sz w:val="24"/>
          <w:szCs w:val="24"/>
        </w:rPr>
        <w:t> </w:t>
      </w:r>
    </w:p>
    <w:p w14:paraId="66F9358E" w14:textId="77777777" w:rsidR="000B6FAC" w:rsidRPr="0092160B" w:rsidRDefault="008C73B1" w:rsidP="000B6FAC">
      <w:pPr>
        <w:numPr>
          <w:ilvl w:val="0"/>
          <w:numId w:val="8"/>
        </w:numPr>
        <w:rPr>
          <w:rFonts w:cs="Arial"/>
          <w:sz w:val="24"/>
          <w:szCs w:val="24"/>
        </w:rPr>
      </w:pPr>
      <w:r w:rsidRPr="0092160B">
        <w:rPr>
          <w:b/>
          <w:sz w:val="24"/>
          <w:szCs w:val="24"/>
        </w:rPr>
        <w:t>Remise en argent de 1 %</w:t>
      </w:r>
      <w:r w:rsidRPr="0092160B">
        <w:rPr>
          <w:sz w:val="24"/>
          <w:szCs w:val="24"/>
        </w:rPr>
        <w:t> : 1 % de remise en argent sur le montant total de l’avance (jusqu’à 4 000 $) pour vous aider à atténuer les coûts du transfert de votre prêt hypothécaire inversé à la Banque Équitable. </w:t>
      </w:r>
    </w:p>
    <w:p w14:paraId="01887A7B" w14:textId="77777777" w:rsidR="000B6FAC" w:rsidRPr="0092160B" w:rsidRDefault="008C73B1" w:rsidP="000B6FAC">
      <w:pPr>
        <w:numPr>
          <w:ilvl w:val="0"/>
          <w:numId w:val="9"/>
        </w:numPr>
        <w:rPr>
          <w:rFonts w:cs="Arial"/>
          <w:sz w:val="24"/>
          <w:szCs w:val="24"/>
        </w:rPr>
      </w:pPr>
      <w:r w:rsidRPr="0092160B">
        <w:rPr>
          <w:b/>
          <w:sz w:val="24"/>
          <w:szCs w:val="24"/>
        </w:rPr>
        <w:t xml:space="preserve">Annulation des frais d’établissement de 995 $ : </w:t>
      </w:r>
      <w:r w:rsidRPr="0092160B">
        <w:rPr>
          <w:sz w:val="24"/>
          <w:szCs w:val="24"/>
        </w:rPr>
        <w:t>réduction des coûts initiaux. </w:t>
      </w:r>
    </w:p>
    <w:p w14:paraId="6BCF77C1" w14:textId="77777777" w:rsidR="000B6FAC" w:rsidRPr="0092160B" w:rsidRDefault="008C73B1" w:rsidP="000B6FAC">
      <w:pPr>
        <w:numPr>
          <w:ilvl w:val="0"/>
          <w:numId w:val="10"/>
        </w:numPr>
        <w:rPr>
          <w:rFonts w:cs="Arial"/>
          <w:sz w:val="24"/>
          <w:szCs w:val="24"/>
        </w:rPr>
      </w:pPr>
      <w:r w:rsidRPr="0092160B">
        <w:rPr>
          <w:b/>
          <w:sz w:val="24"/>
          <w:szCs w:val="24"/>
        </w:rPr>
        <w:t>Taux avantageux :</w:t>
      </w:r>
      <w:r w:rsidRPr="0092160B">
        <w:rPr>
          <w:sz w:val="24"/>
          <w:szCs w:val="24"/>
        </w:rPr>
        <w:t xml:space="preserve"> la Banque Équitable offrira mieux que tous les taux affichés pour des produits hypothécaires inversés comparables*, vous assurant ainsi de payer moins d’intérêts. </w:t>
      </w:r>
    </w:p>
    <w:p w14:paraId="1132145D" w14:textId="77777777" w:rsidR="000B6FAC" w:rsidRPr="0092160B" w:rsidRDefault="008C73B1" w:rsidP="000B6FAC">
      <w:pPr>
        <w:rPr>
          <w:rFonts w:cs="Arial"/>
          <w:sz w:val="24"/>
          <w:szCs w:val="24"/>
        </w:rPr>
      </w:pPr>
      <w:r w:rsidRPr="0092160B">
        <w:rPr>
          <w:b/>
          <w:sz w:val="24"/>
          <w:szCs w:val="24"/>
        </w:rPr>
        <w:t>Avantages</w:t>
      </w:r>
    </w:p>
    <w:p w14:paraId="4943EC5B" w14:textId="77777777" w:rsidR="000B6FAC" w:rsidRPr="0092160B" w:rsidRDefault="008C73B1" w:rsidP="000B6FAC">
      <w:pPr>
        <w:numPr>
          <w:ilvl w:val="0"/>
          <w:numId w:val="11"/>
        </w:numPr>
        <w:rPr>
          <w:rFonts w:cs="Arial"/>
          <w:sz w:val="24"/>
          <w:szCs w:val="24"/>
        </w:rPr>
      </w:pPr>
      <w:r w:rsidRPr="0092160B">
        <w:rPr>
          <w:sz w:val="24"/>
          <w:szCs w:val="24"/>
        </w:rPr>
        <w:t>Économies importantes sur les frais d’intérêt</w:t>
      </w:r>
    </w:p>
    <w:p w14:paraId="4DCF3E38" w14:textId="77777777" w:rsidR="000B6FAC" w:rsidRPr="0092160B" w:rsidRDefault="008C73B1" w:rsidP="000B6FAC">
      <w:pPr>
        <w:numPr>
          <w:ilvl w:val="0"/>
          <w:numId w:val="12"/>
        </w:numPr>
        <w:rPr>
          <w:rFonts w:cs="Arial"/>
          <w:sz w:val="24"/>
          <w:szCs w:val="24"/>
        </w:rPr>
      </w:pPr>
      <w:r w:rsidRPr="0092160B">
        <w:rPr>
          <w:sz w:val="24"/>
          <w:szCs w:val="24"/>
        </w:rPr>
        <w:t>Accès aux options flexibles de remboursement anticipé de la Banque Équitable.</w:t>
      </w:r>
    </w:p>
    <w:p w14:paraId="2292B80C" w14:textId="77777777" w:rsidR="000B6FAC" w:rsidRPr="0092160B" w:rsidRDefault="008C73B1" w:rsidP="000B6FAC">
      <w:pPr>
        <w:numPr>
          <w:ilvl w:val="0"/>
          <w:numId w:val="13"/>
        </w:numPr>
        <w:rPr>
          <w:rFonts w:cs="Arial"/>
          <w:sz w:val="24"/>
          <w:szCs w:val="24"/>
        </w:rPr>
      </w:pPr>
      <w:r w:rsidRPr="0092160B">
        <w:rPr>
          <w:sz w:val="24"/>
          <w:szCs w:val="24"/>
        </w:rPr>
        <w:t xml:space="preserve">Accès au portail </w:t>
      </w:r>
      <w:proofErr w:type="spellStart"/>
      <w:r w:rsidRPr="0092160B">
        <w:rPr>
          <w:sz w:val="24"/>
          <w:szCs w:val="24"/>
        </w:rPr>
        <w:t>myEquitable</w:t>
      </w:r>
      <w:proofErr w:type="spellEnd"/>
      <w:r w:rsidRPr="0092160B">
        <w:rPr>
          <w:sz w:val="24"/>
          <w:szCs w:val="24"/>
        </w:rPr>
        <w:t> : une plateforme en ligne facile à utiliser pour gérer votre prêt hypothécaire inversé  </w:t>
      </w:r>
    </w:p>
    <w:p w14:paraId="71AB65B2" w14:textId="77777777" w:rsidR="00C94F15" w:rsidRPr="0092160B" w:rsidRDefault="00C94F15" w:rsidP="000B6FAC">
      <w:pPr>
        <w:rPr>
          <w:rFonts w:cs="Arial"/>
          <w:sz w:val="24"/>
          <w:szCs w:val="24"/>
        </w:rPr>
      </w:pPr>
    </w:p>
    <w:p w14:paraId="5769467D" w14:textId="77777777" w:rsidR="000B6FAC" w:rsidRPr="0092160B" w:rsidRDefault="008C73B1" w:rsidP="000B6FAC">
      <w:pPr>
        <w:rPr>
          <w:rFonts w:cs="Arial"/>
          <w:sz w:val="24"/>
          <w:szCs w:val="24"/>
        </w:rPr>
      </w:pPr>
      <w:r w:rsidRPr="0092160B">
        <w:rPr>
          <w:sz w:val="24"/>
          <w:szCs w:val="24"/>
        </w:rPr>
        <w:lastRenderedPageBreak/>
        <w:t xml:space="preserve">Communiquez avec moi aujourd’hui pour savoir comment profiter de cette offre concurrentielle et économiser! </w:t>
      </w:r>
    </w:p>
    <w:p w14:paraId="7CC207BE" w14:textId="77777777" w:rsidR="001048CD" w:rsidRPr="0092160B" w:rsidRDefault="001048CD" w:rsidP="007078CC">
      <w:pPr>
        <w:rPr>
          <w:rFonts w:cs="Arial"/>
          <w:sz w:val="24"/>
          <w:szCs w:val="24"/>
        </w:rPr>
      </w:pPr>
    </w:p>
    <w:p w14:paraId="3AAFF82A" w14:textId="77777777" w:rsidR="007078CC" w:rsidRPr="0092160B" w:rsidRDefault="008C73B1" w:rsidP="007078CC">
      <w:pPr>
        <w:rPr>
          <w:rFonts w:cs="Arial"/>
          <w:sz w:val="24"/>
          <w:szCs w:val="24"/>
          <w:shd w:val="clear" w:color="auto" w:fill="FFFFFF"/>
        </w:rPr>
      </w:pPr>
      <w:r w:rsidRPr="0092160B">
        <w:rPr>
          <w:sz w:val="24"/>
          <w:szCs w:val="24"/>
        </w:rPr>
        <w:t>&lt;</w:t>
      </w:r>
      <w:r w:rsidRPr="0092160B">
        <w:rPr>
          <w:color w:val="FF0000"/>
          <w:sz w:val="24"/>
          <w:szCs w:val="24"/>
        </w:rPr>
        <w:t>Votre signature</w:t>
      </w:r>
      <w:r w:rsidRPr="0092160B">
        <w:rPr>
          <w:sz w:val="24"/>
          <w:szCs w:val="24"/>
        </w:rPr>
        <w:t>&gt;</w:t>
      </w:r>
    </w:p>
    <w:p w14:paraId="0BD02BB8" w14:textId="77777777" w:rsidR="001048CD" w:rsidRPr="0092160B" w:rsidRDefault="008C73B1" w:rsidP="001048CD">
      <w:pPr>
        <w:contextualSpacing/>
        <w:rPr>
          <w:rFonts w:cs="Arial"/>
          <w:sz w:val="24"/>
          <w:szCs w:val="24"/>
        </w:rPr>
      </w:pPr>
      <w:r w:rsidRPr="0092160B">
        <w:rPr>
          <w:sz w:val="24"/>
          <w:szCs w:val="24"/>
        </w:rPr>
        <w:t xml:space="preserve">* La Banque Équitable surveille régulièrement les taux de prêt hypothécaire inversé affichés par ses concurrents. Si, à la date de votre demande, le taux affiché sur le site Web d’un concurrent pour un produit de prêt hypothécaire inversé comparable au Canada est inférieur au nôtre, nous vous offrirons un meilleur taux. Toutes les demandes sont soumises aux lignes directrices, aux pratiques et aux critères d’approbation standard d’octroi de prêts de la Banque Équitable. Si vous présentez votre demande un jour non ouvrable, nous comparerons les taux tels qu’affichés le jour ouvrable suivant. Nouveaux montages de prêt hypothécaire seulement. Les promotions sont exclues. </w:t>
      </w:r>
    </w:p>
    <w:p w14:paraId="4C29D7C2" w14:textId="77777777" w:rsidR="26EB46DD" w:rsidRPr="0092160B" w:rsidRDefault="008C73B1" w:rsidP="001048CD">
      <w:pPr>
        <w:pStyle w:val="NormalWeb"/>
        <w:contextualSpacing/>
        <w:rPr>
          <w:rFonts w:ascii="Arial" w:hAnsi="Arial" w:cs="Arial"/>
        </w:rPr>
      </w:pPr>
      <w:r w:rsidRPr="0092160B">
        <w:rPr>
          <w:rFonts w:ascii="Arial" w:hAnsi="Arial"/>
        </w:rPr>
        <w:t xml:space="preserve">Pour être admissible, le prêt doit être d’un montant minimal de 150 000 $. Si le prêt hypothécaire inversé est remboursé avant la fin de la période de cinq ans avec la Banque Équitable, le client sera tenu de rembourser un pourcentage du montant de la remise en argent reçue. </w:t>
      </w:r>
    </w:p>
    <w:p w14:paraId="7C4703DE" w14:textId="77777777" w:rsidR="006C130E" w:rsidRPr="0092160B" w:rsidRDefault="008C73B1" w:rsidP="006C130E">
      <w:pPr>
        <w:rPr>
          <w:rFonts w:cs="Arial"/>
          <w:sz w:val="24"/>
          <w:szCs w:val="24"/>
        </w:rPr>
      </w:pPr>
      <w:r w:rsidRPr="0092160B">
        <w:rPr>
          <w:sz w:val="24"/>
          <w:szCs w:val="24"/>
        </w:rPr>
        <w:t xml:space="preserve">Ce courriel a été envoyé par </w:t>
      </w:r>
      <w:r w:rsidRPr="0092160B">
        <w:rPr>
          <w:color w:val="FF0000"/>
          <w:sz w:val="24"/>
          <w:szCs w:val="24"/>
        </w:rPr>
        <w:t>[nom de la personne ou de l’organisation qui a envoyé le courriel]</w:t>
      </w:r>
      <w:r w:rsidRPr="0092160B">
        <w:rPr>
          <w:sz w:val="24"/>
          <w:szCs w:val="24"/>
        </w:rPr>
        <w:t xml:space="preserve"> au nom de la Banque Équitable.</w:t>
      </w:r>
      <w:r w:rsidRPr="0092160B">
        <w:rPr>
          <w:sz w:val="24"/>
          <w:szCs w:val="24"/>
        </w:rPr>
        <w:br/>
      </w:r>
    </w:p>
    <w:p w14:paraId="4B6C460C" w14:textId="77777777" w:rsidR="006C130E" w:rsidRPr="0092160B" w:rsidRDefault="008C73B1" w:rsidP="006C130E">
      <w:pPr>
        <w:rPr>
          <w:rFonts w:cs="Arial"/>
          <w:sz w:val="24"/>
          <w:szCs w:val="24"/>
        </w:rPr>
      </w:pPr>
      <w:r w:rsidRPr="0092160B">
        <w:rPr>
          <w:sz w:val="24"/>
          <w:szCs w:val="24"/>
        </w:rPr>
        <w:t>Banque Équitable, 30, avenue St. Clair Ouest, bureau 700, Toronto (</w:t>
      </w:r>
      <w:proofErr w:type="gramStart"/>
      <w:r w:rsidRPr="0092160B">
        <w:rPr>
          <w:sz w:val="24"/>
          <w:szCs w:val="24"/>
        </w:rPr>
        <w:t>Ontario)  M</w:t>
      </w:r>
      <w:proofErr w:type="gramEnd"/>
      <w:r w:rsidRPr="0092160B">
        <w:rPr>
          <w:sz w:val="24"/>
          <w:szCs w:val="24"/>
        </w:rPr>
        <w:t>4V 3A1, Canada</w:t>
      </w:r>
      <w:r w:rsidRPr="0092160B">
        <w:rPr>
          <w:sz w:val="24"/>
          <w:szCs w:val="24"/>
        </w:rPr>
        <w:br/>
      </w:r>
      <w:hyperlink r:id="rId10" w:history="1">
        <w:r w:rsidRPr="0092160B">
          <w:rPr>
            <w:rStyle w:val="Hyperlink"/>
            <w:sz w:val="24"/>
            <w:szCs w:val="24"/>
          </w:rPr>
          <w:t>CONTACTEZ-NOUS</w:t>
        </w:r>
      </w:hyperlink>
    </w:p>
    <w:p w14:paraId="13C81181" w14:textId="77777777" w:rsidR="006C130E" w:rsidRPr="0092160B" w:rsidRDefault="006C130E" w:rsidP="006C130E">
      <w:pPr>
        <w:rPr>
          <w:rFonts w:cs="Arial"/>
          <w:sz w:val="24"/>
          <w:szCs w:val="24"/>
        </w:rPr>
      </w:pPr>
    </w:p>
    <w:bookmarkEnd w:id="0"/>
    <w:p w14:paraId="7D543EDA" w14:textId="77777777" w:rsidR="005679DC" w:rsidRPr="0092160B" w:rsidRDefault="008C73B1" w:rsidP="3543881B">
      <w:pPr>
        <w:rPr>
          <w:rFonts w:cs="Arial"/>
          <w:color w:val="FF0000"/>
          <w:sz w:val="24"/>
          <w:szCs w:val="24"/>
        </w:rPr>
      </w:pPr>
      <w:r w:rsidRPr="0092160B">
        <w:rPr>
          <w:color w:val="FF0000"/>
          <w:sz w:val="24"/>
          <w:szCs w:val="24"/>
        </w:rPr>
        <w:t>ME DÉSABONNER [Veuillez insérer votre lien/mécanisme de désabonnement ici]</w:t>
      </w:r>
    </w:p>
    <w:sectPr w:rsidR="005679DC" w:rsidRPr="0092160B" w:rsidSect="00083A6F">
      <w:headerReference w:type="default" r:id="rId11"/>
      <w:footerReference w:type="default" r:id="rId12"/>
      <w:headerReference w:type="first" r:id="rId13"/>
      <w:footerReference w:type="first" r:id="rId14"/>
      <w:pgSz w:w="12240" w:h="15840"/>
      <w:pgMar w:top="1440" w:right="720" w:bottom="1260" w:left="720" w:header="720"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2618C" w14:textId="77777777" w:rsidR="00866F77" w:rsidRDefault="00866F77">
      <w:pPr>
        <w:spacing w:after="0" w:line="240" w:lineRule="auto"/>
      </w:pPr>
      <w:r>
        <w:separator/>
      </w:r>
    </w:p>
  </w:endnote>
  <w:endnote w:type="continuationSeparator" w:id="0">
    <w:p w14:paraId="6B444AEA" w14:textId="77777777" w:rsidR="00866F77" w:rsidRDefault="00866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5855" w14:textId="77777777" w:rsidR="007E167C" w:rsidRPr="008C73B1" w:rsidRDefault="008C73B1" w:rsidP="007E167C">
    <w:pPr>
      <w:pStyle w:val="BasicParagraph"/>
      <w:jc w:val="right"/>
      <w:rPr>
        <w:rFonts w:ascii="Helvetica" w:hAnsi="Helvetica" w:cs="Helvetica"/>
        <w:color w:val="323232"/>
        <w:spacing w:val="-2"/>
        <w:sz w:val="16"/>
        <w:szCs w:val="16"/>
      </w:rPr>
    </w:pPr>
    <w:r w:rsidRPr="008C73B1">
      <w:rPr>
        <w:rFonts w:ascii="Helvetica" w:hAnsi="Helvetica" w:cs="Helvetica"/>
        <w:noProof/>
        <w:color w:val="323232"/>
        <w:spacing w:val="-2"/>
        <w:sz w:val="16"/>
        <w:szCs w:val="16"/>
      </w:rPr>
      <w:softHyphen/>
    </w:r>
    <w:r w:rsidRPr="008C73B1">
      <w:rPr>
        <w:rFonts w:ascii="Helvetica" w:hAnsi="Helvetica" w:cs="Helvetica"/>
        <w:noProof/>
        <w:color w:val="323232"/>
        <w:spacing w:val="-2"/>
        <w:sz w:val="16"/>
        <w:szCs w:val="16"/>
      </w:rPr>
      <w:softHyphen/>
    </w:r>
    <w:r w:rsidRPr="008C73B1">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F70866" w:rsidRPr="008C73B1" w14:paraId="37BAB23C" w14:textId="77777777">
      <w:tc>
        <w:tcPr>
          <w:tcW w:w="9540" w:type="dxa"/>
          <w:tcBorders>
            <w:top w:val="single" w:sz="12" w:space="0" w:color="463C5F"/>
          </w:tcBorders>
          <w:tcMar>
            <w:left w:w="0" w:type="dxa"/>
          </w:tcMar>
        </w:tcPr>
        <w:p w14:paraId="7FC7608F" w14:textId="77777777" w:rsidR="007E167C" w:rsidRPr="008C73B1" w:rsidRDefault="007E167C" w:rsidP="007E167C">
          <w:pPr>
            <w:tabs>
              <w:tab w:val="center" w:pos="4680"/>
              <w:tab w:val="right" w:pos="9360"/>
            </w:tabs>
            <w:rPr>
              <w:color w:val="BE1E5A"/>
            </w:rPr>
          </w:pPr>
        </w:p>
      </w:tc>
      <w:tc>
        <w:tcPr>
          <w:tcW w:w="1174" w:type="dxa"/>
          <w:tcBorders>
            <w:top w:val="single" w:sz="12" w:space="0" w:color="463C5F"/>
          </w:tcBorders>
        </w:tcPr>
        <w:p w14:paraId="1ED04A2F" w14:textId="77777777" w:rsidR="007E167C" w:rsidRPr="008C73B1" w:rsidRDefault="008C73B1" w:rsidP="007E167C">
          <w:pPr>
            <w:pStyle w:val="BasicParagraph"/>
            <w:jc w:val="right"/>
            <w:rPr>
              <w:rFonts w:ascii="Arial" w:hAnsi="Arial" w:cs="Arial"/>
              <w:color w:val="666666"/>
              <w:spacing w:val="-2"/>
              <w:sz w:val="16"/>
              <w:szCs w:val="16"/>
            </w:rPr>
          </w:pPr>
          <w:r w:rsidRPr="008C73B1">
            <w:rPr>
              <w:rFonts w:ascii="Arial" w:hAnsi="Arial"/>
              <w:color w:val="595959" w:themeColor="text1" w:themeTint="A6"/>
              <w:sz w:val="14"/>
            </w:rPr>
            <w:t>Page </w:t>
          </w:r>
          <w:r w:rsidRPr="008C73B1">
            <w:rPr>
              <w:rFonts w:ascii="Arial" w:hAnsi="Arial" w:cs="Arial"/>
              <w:b/>
              <w:color w:val="595959" w:themeColor="text1" w:themeTint="A6"/>
              <w:sz w:val="14"/>
            </w:rPr>
            <w:fldChar w:fldCharType="begin"/>
          </w:r>
          <w:r w:rsidRPr="008C73B1">
            <w:rPr>
              <w:rFonts w:ascii="Arial" w:hAnsi="Arial" w:cs="Arial"/>
              <w:b/>
              <w:color w:val="595959" w:themeColor="text1" w:themeTint="A6"/>
              <w:sz w:val="14"/>
            </w:rPr>
            <w:instrText xml:space="preserve">PAGE \* Arabic \* MERGEFORMAT </w:instrText>
          </w:r>
          <w:r w:rsidRPr="008C73B1">
            <w:rPr>
              <w:rFonts w:ascii="Arial" w:hAnsi="Arial" w:cs="Arial"/>
              <w:b/>
              <w:color w:val="595959" w:themeColor="text1" w:themeTint="A6"/>
              <w:sz w:val="14"/>
            </w:rPr>
            <w:fldChar w:fldCharType="separate"/>
          </w:r>
          <w:r w:rsidR="00A92B64" w:rsidRPr="008C73B1">
            <w:rPr>
              <w:rFonts w:ascii="Arial" w:hAnsi="Arial" w:cs="Arial"/>
              <w:b/>
              <w:color w:val="595959" w:themeColor="text1" w:themeTint="A6"/>
              <w:sz w:val="14"/>
            </w:rPr>
            <w:t>2</w:t>
          </w:r>
          <w:r w:rsidRPr="008C73B1">
            <w:rPr>
              <w:rFonts w:ascii="Arial" w:hAnsi="Arial" w:cs="Arial"/>
              <w:b/>
              <w:color w:val="595959" w:themeColor="text1" w:themeTint="A6"/>
              <w:sz w:val="14"/>
            </w:rPr>
            <w:fldChar w:fldCharType="end"/>
          </w:r>
          <w:r w:rsidRPr="008C73B1">
            <w:rPr>
              <w:rFonts w:ascii="Arial" w:hAnsi="Arial"/>
              <w:color w:val="595959" w:themeColor="text1" w:themeTint="A6"/>
              <w:sz w:val="14"/>
            </w:rPr>
            <w:t xml:space="preserve"> de </w:t>
          </w:r>
          <w:r w:rsidRPr="008C73B1">
            <w:rPr>
              <w:rFonts w:ascii="Arial" w:hAnsi="Arial" w:cs="Arial"/>
              <w:b/>
              <w:color w:val="595959" w:themeColor="text1" w:themeTint="A6"/>
              <w:sz w:val="14"/>
            </w:rPr>
            <w:fldChar w:fldCharType="begin"/>
          </w:r>
          <w:r w:rsidRPr="008C73B1">
            <w:rPr>
              <w:rFonts w:ascii="Arial" w:hAnsi="Arial" w:cs="Arial"/>
              <w:b/>
              <w:color w:val="595959" w:themeColor="text1" w:themeTint="A6"/>
              <w:sz w:val="14"/>
            </w:rPr>
            <w:instrText xml:space="preserve">NUMPAGES \* Arabic \* MERGEFORMAT </w:instrText>
          </w:r>
          <w:r w:rsidRPr="008C73B1">
            <w:rPr>
              <w:rFonts w:ascii="Arial" w:hAnsi="Arial" w:cs="Arial"/>
              <w:b/>
              <w:color w:val="595959" w:themeColor="text1" w:themeTint="A6"/>
              <w:sz w:val="14"/>
            </w:rPr>
            <w:fldChar w:fldCharType="separate"/>
          </w:r>
          <w:r w:rsidR="00A92B64" w:rsidRPr="008C73B1">
            <w:rPr>
              <w:rFonts w:ascii="Arial" w:hAnsi="Arial" w:cs="Arial"/>
              <w:b/>
              <w:color w:val="595959" w:themeColor="text1" w:themeTint="A6"/>
              <w:sz w:val="14"/>
            </w:rPr>
            <w:t>2</w:t>
          </w:r>
          <w:r w:rsidRPr="008C73B1">
            <w:rPr>
              <w:rFonts w:ascii="Arial" w:hAnsi="Arial" w:cs="Arial"/>
              <w:b/>
              <w:color w:val="595959" w:themeColor="text1" w:themeTint="A6"/>
              <w:sz w:val="14"/>
            </w:rPr>
            <w:fldChar w:fldCharType="end"/>
          </w:r>
        </w:p>
      </w:tc>
    </w:tr>
  </w:tbl>
  <w:p w14:paraId="10547460" w14:textId="77777777" w:rsidR="007E167C" w:rsidRPr="008C73B1" w:rsidRDefault="007E167C" w:rsidP="007E1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98D63" w14:textId="77777777" w:rsidR="007E167C" w:rsidRPr="008C73B1" w:rsidRDefault="008C73B1" w:rsidP="007E167C">
    <w:pPr>
      <w:pStyle w:val="BasicParagraph"/>
      <w:jc w:val="right"/>
      <w:rPr>
        <w:rFonts w:ascii="Helvetica" w:hAnsi="Helvetica" w:cs="Helvetica"/>
        <w:color w:val="323232"/>
        <w:spacing w:val="-2"/>
        <w:sz w:val="16"/>
        <w:szCs w:val="16"/>
      </w:rPr>
    </w:pPr>
    <w:r w:rsidRPr="008C73B1">
      <w:rPr>
        <w:rFonts w:ascii="Helvetica" w:hAnsi="Helvetica" w:cs="Helvetica"/>
        <w:noProof/>
        <w:color w:val="323232"/>
        <w:spacing w:val="-2"/>
        <w:sz w:val="16"/>
        <w:szCs w:val="16"/>
      </w:rPr>
      <w:softHyphen/>
    </w:r>
    <w:r w:rsidRPr="008C73B1">
      <w:rPr>
        <w:rFonts w:ascii="Helvetica" w:hAnsi="Helvetica" w:cs="Helvetica"/>
        <w:noProof/>
        <w:color w:val="323232"/>
        <w:spacing w:val="-2"/>
        <w:sz w:val="16"/>
        <w:szCs w:val="16"/>
      </w:rPr>
      <w:softHyphen/>
    </w:r>
    <w:r w:rsidRPr="008C73B1">
      <w:rPr>
        <w:rFonts w:ascii="Helvetica" w:hAnsi="Helvetica" w:cs="Helvetica"/>
        <w:noProof/>
        <w:color w:val="323232"/>
        <w:spacing w:val="-2"/>
        <w:sz w:val="16"/>
        <w:szCs w:val="16"/>
      </w:rPr>
      <w:softHyphen/>
    </w:r>
  </w:p>
  <w:p w14:paraId="25F12DC9" w14:textId="77777777" w:rsidR="007E167C" w:rsidRPr="008C73B1" w:rsidRDefault="007E167C" w:rsidP="007E1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44303" w14:textId="77777777" w:rsidR="00866F77" w:rsidRDefault="00866F77">
      <w:pPr>
        <w:spacing w:after="0" w:line="240" w:lineRule="auto"/>
      </w:pPr>
      <w:r>
        <w:separator/>
      </w:r>
    </w:p>
  </w:footnote>
  <w:footnote w:type="continuationSeparator" w:id="0">
    <w:p w14:paraId="5FB1FAD2" w14:textId="77777777" w:rsidR="00866F77" w:rsidRDefault="00866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8E47B" w14:textId="77777777" w:rsidR="008F6090" w:rsidRDefault="008F6090"/>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10641"/>
    </w:tblGrid>
    <w:tr w:rsidR="008F6090" w:rsidRPr="008C73B1" w14:paraId="70570F98" w14:textId="77777777" w:rsidTr="008F6090">
      <w:trPr>
        <w:trHeight w:val="254"/>
      </w:trPr>
      <w:tc>
        <w:tcPr>
          <w:tcW w:w="10641" w:type="dxa"/>
        </w:tcPr>
        <w:p w14:paraId="70A88142" w14:textId="77777777" w:rsidR="008F6090" w:rsidRPr="008C73B1" w:rsidRDefault="008F6090" w:rsidP="00A92B64">
          <w:pPr>
            <w:pStyle w:val="Header"/>
          </w:pPr>
        </w:p>
      </w:tc>
    </w:tr>
  </w:tbl>
  <w:p w14:paraId="56FE2D75" w14:textId="77777777" w:rsidR="007E167C" w:rsidRPr="008C73B1" w:rsidRDefault="008C73B1" w:rsidP="00A92B64">
    <w:pPr>
      <w:pStyle w:val="Header"/>
    </w:pPr>
    <w:r w:rsidRPr="008C73B1">
      <w:rPr>
        <w:noProof/>
      </w:rPr>
      <w:drawing>
        <wp:anchor distT="0" distB="0" distL="114300" distR="114300" simplePos="0" relativeHeight="251659264" behindDoc="1" locked="0" layoutInCell="1" allowOverlap="1" wp14:anchorId="128D9014" wp14:editId="5BDD0AC2">
          <wp:simplePos x="0" y="0"/>
          <wp:positionH relativeFrom="margin">
            <wp:posOffset>-60960</wp:posOffset>
          </wp:positionH>
          <wp:positionV relativeFrom="paragraph">
            <wp:posOffset>-459852</wp:posOffset>
          </wp:positionV>
          <wp:extent cx="1711960" cy="446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711960" cy="4464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D0E35" w14:textId="77777777" w:rsidR="0041096B" w:rsidRDefault="0041096B"/>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F70866" w:rsidRPr="008C73B1" w14:paraId="2E25D176" w14:textId="77777777">
      <w:tc>
        <w:tcPr>
          <w:tcW w:w="4135" w:type="dxa"/>
        </w:tcPr>
        <w:p w14:paraId="34D17635" w14:textId="18102E71" w:rsidR="0067211C" w:rsidRPr="008C73B1" w:rsidRDefault="00525B7F" w:rsidP="0067211C">
          <w:pPr>
            <w:pStyle w:val="Header"/>
          </w:pPr>
          <w:r w:rsidRPr="00B112ED">
            <w:rPr>
              <w:noProof/>
              <w:sz w:val="24"/>
              <w:szCs w:val="24"/>
            </w:rPr>
            <w:drawing>
              <wp:anchor distT="0" distB="0" distL="114300" distR="114300" simplePos="0" relativeHeight="251661312" behindDoc="1" locked="0" layoutInCell="1" allowOverlap="1" wp14:anchorId="752929F6" wp14:editId="4BE99ADE">
                <wp:simplePos x="0" y="0"/>
                <wp:positionH relativeFrom="column">
                  <wp:posOffset>0</wp:posOffset>
                </wp:positionH>
                <wp:positionV relativeFrom="paragraph">
                  <wp:posOffset>-242570</wp:posOffset>
                </wp:positionV>
                <wp:extent cx="2256155" cy="520065"/>
                <wp:effectExtent l="0" t="0" r="0" b="0"/>
                <wp:wrapNone/>
                <wp:docPr id="3" name="Picture 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65" w:type="dxa"/>
          <w:tcMar>
            <w:bottom w:w="101" w:type="dxa"/>
          </w:tcMar>
          <w:vAlign w:val="bottom"/>
        </w:tcPr>
        <w:p w14:paraId="7D41737A" w14:textId="77777777" w:rsidR="0067211C" w:rsidRDefault="0067211C" w:rsidP="0067211C">
          <w:pPr>
            <w:jc w:val="right"/>
            <w:rPr>
              <w:b/>
              <w:sz w:val="24"/>
            </w:rPr>
          </w:pPr>
        </w:p>
        <w:p w14:paraId="62B0A7E4" w14:textId="0D400D39" w:rsidR="001A6B6A" w:rsidRPr="008C73B1" w:rsidRDefault="001A6B6A" w:rsidP="0067211C">
          <w:pPr>
            <w:jc w:val="right"/>
            <w:rPr>
              <w:rFonts w:cs="Arial"/>
              <w:b/>
              <w:sz w:val="24"/>
              <w:szCs w:val="24"/>
            </w:rPr>
          </w:pPr>
        </w:p>
      </w:tc>
    </w:tr>
  </w:tbl>
  <w:p w14:paraId="7BE16A77" w14:textId="3A52DDB5" w:rsidR="007E167C" w:rsidRPr="008C73B1" w:rsidRDefault="007E167C" w:rsidP="00672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6520"/>
    <w:multiLevelType w:val="multilevel"/>
    <w:tmpl w:val="74AA3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6C77A1"/>
    <w:multiLevelType w:val="multilevel"/>
    <w:tmpl w:val="5092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9076F"/>
    <w:multiLevelType w:val="multilevel"/>
    <w:tmpl w:val="B5029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C45B06"/>
    <w:multiLevelType w:val="hybridMultilevel"/>
    <w:tmpl w:val="4908466E"/>
    <w:lvl w:ilvl="0" w:tplc="8D56B2D6">
      <w:start w:val="1"/>
      <w:numFmt w:val="bullet"/>
      <w:lvlText w:val=""/>
      <w:lvlJc w:val="left"/>
      <w:pPr>
        <w:ind w:left="720" w:hanging="360"/>
      </w:pPr>
      <w:rPr>
        <w:rFonts w:ascii="Wingdings" w:hAnsi="Wingdings" w:hint="default"/>
      </w:rPr>
    </w:lvl>
    <w:lvl w:ilvl="1" w:tplc="33243F02" w:tentative="1">
      <w:start w:val="1"/>
      <w:numFmt w:val="bullet"/>
      <w:lvlText w:val="o"/>
      <w:lvlJc w:val="left"/>
      <w:pPr>
        <w:ind w:left="1440" w:hanging="360"/>
      </w:pPr>
      <w:rPr>
        <w:rFonts w:ascii="Courier New" w:hAnsi="Courier New" w:cs="Courier New" w:hint="default"/>
      </w:rPr>
    </w:lvl>
    <w:lvl w:ilvl="2" w:tplc="9D1833A4" w:tentative="1">
      <w:start w:val="1"/>
      <w:numFmt w:val="bullet"/>
      <w:lvlText w:val=""/>
      <w:lvlJc w:val="left"/>
      <w:pPr>
        <w:ind w:left="2160" w:hanging="360"/>
      </w:pPr>
      <w:rPr>
        <w:rFonts w:ascii="Wingdings" w:hAnsi="Wingdings" w:hint="default"/>
      </w:rPr>
    </w:lvl>
    <w:lvl w:ilvl="3" w:tplc="626E9FB8" w:tentative="1">
      <w:start w:val="1"/>
      <w:numFmt w:val="bullet"/>
      <w:lvlText w:val=""/>
      <w:lvlJc w:val="left"/>
      <w:pPr>
        <w:ind w:left="2880" w:hanging="360"/>
      </w:pPr>
      <w:rPr>
        <w:rFonts w:ascii="Symbol" w:hAnsi="Symbol" w:hint="default"/>
      </w:rPr>
    </w:lvl>
    <w:lvl w:ilvl="4" w:tplc="F6EC64CA" w:tentative="1">
      <w:start w:val="1"/>
      <w:numFmt w:val="bullet"/>
      <w:lvlText w:val="o"/>
      <w:lvlJc w:val="left"/>
      <w:pPr>
        <w:ind w:left="3600" w:hanging="360"/>
      </w:pPr>
      <w:rPr>
        <w:rFonts w:ascii="Courier New" w:hAnsi="Courier New" w:cs="Courier New" w:hint="default"/>
      </w:rPr>
    </w:lvl>
    <w:lvl w:ilvl="5" w:tplc="108AF5CA" w:tentative="1">
      <w:start w:val="1"/>
      <w:numFmt w:val="bullet"/>
      <w:lvlText w:val=""/>
      <w:lvlJc w:val="left"/>
      <w:pPr>
        <w:ind w:left="4320" w:hanging="360"/>
      </w:pPr>
      <w:rPr>
        <w:rFonts w:ascii="Wingdings" w:hAnsi="Wingdings" w:hint="default"/>
      </w:rPr>
    </w:lvl>
    <w:lvl w:ilvl="6" w:tplc="DE4CC2F2" w:tentative="1">
      <w:start w:val="1"/>
      <w:numFmt w:val="bullet"/>
      <w:lvlText w:val=""/>
      <w:lvlJc w:val="left"/>
      <w:pPr>
        <w:ind w:left="5040" w:hanging="360"/>
      </w:pPr>
      <w:rPr>
        <w:rFonts w:ascii="Symbol" w:hAnsi="Symbol" w:hint="default"/>
      </w:rPr>
    </w:lvl>
    <w:lvl w:ilvl="7" w:tplc="6338BEE0" w:tentative="1">
      <w:start w:val="1"/>
      <w:numFmt w:val="bullet"/>
      <w:lvlText w:val="o"/>
      <w:lvlJc w:val="left"/>
      <w:pPr>
        <w:ind w:left="5760" w:hanging="360"/>
      </w:pPr>
      <w:rPr>
        <w:rFonts w:ascii="Courier New" w:hAnsi="Courier New" w:cs="Courier New" w:hint="default"/>
      </w:rPr>
    </w:lvl>
    <w:lvl w:ilvl="8" w:tplc="1BFE669A" w:tentative="1">
      <w:start w:val="1"/>
      <w:numFmt w:val="bullet"/>
      <w:lvlText w:val=""/>
      <w:lvlJc w:val="left"/>
      <w:pPr>
        <w:ind w:left="6480" w:hanging="360"/>
      </w:pPr>
      <w:rPr>
        <w:rFonts w:ascii="Wingdings" w:hAnsi="Wingdings" w:hint="default"/>
      </w:rPr>
    </w:lvl>
  </w:abstractNum>
  <w:abstractNum w:abstractNumId="4" w15:restartNumberingAfterBreak="0">
    <w:nsid w:val="2B1C7C97"/>
    <w:multiLevelType w:val="hybridMultilevel"/>
    <w:tmpl w:val="8BE2F164"/>
    <w:lvl w:ilvl="0" w:tplc="3D5A0578">
      <w:start w:val="1"/>
      <w:numFmt w:val="bullet"/>
      <w:lvlText w:val=""/>
      <w:lvlJc w:val="left"/>
      <w:pPr>
        <w:ind w:left="720" w:hanging="360"/>
      </w:pPr>
      <w:rPr>
        <w:rFonts w:ascii="Symbol" w:hAnsi="Symbol" w:hint="default"/>
      </w:rPr>
    </w:lvl>
    <w:lvl w:ilvl="1" w:tplc="50822366">
      <w:start w:val="1"/>
      <w:numFmt w:val="bullet"/>
      <w:lvlText w:val="o"/>
      <w:lvlJc w:val="left"/>
      <w:pPr>
        <w:ind w:left="1440" w:hanging="360"/>
      </w:pPr>
      <w:rPr>
        <w:rFonts w:ascii="Courier New" w:hAnsi="Courier New" w:cs="Courier New" w:hint="default"/>
      </w:rPr>
    </w:lvl>
    <w:lvl w:ilvl="2" w:tplc="5C00F332" w:tentative="1">
      <w:start w:val="1"/>
      <w:numFmt w:val="bullet"/>
      <w:lvlText w:val=""/>
      <w:lvlJc w:val="left"/>
      <w:pPr>
        <w:ind w:left="2160" w:hanging="360"/>
      </w:pPr>
      <w:rPr>
        <w:rFonts w:ascii="Wingdings" w:hAnsi="Wingdings" w:hint="default"/>
      </w:rPr>
    </w:lvl>
    <w:lvl w:ilvl="3" w:tplc="69E85C2E" w:tentative="1">
      <w:start w:val="1"/>
      <w:numFmt w:val="bullet"/>
      <w:lvlText w:val=""/>
      <w:lvlJc w:val="left"/>
      <w:pPr>
        <w:ind w:left="2880" w:hanging="360"/>
      </w:pPr>
      <w:rPr>
        <w:rFonts w:ascii="Symbol" w:hAnsi="Symbol" w:hint="default"/>
      </w:rPr>
    </w:lvl>
    <w:lvl w:ilvl="4" w:tplc="C61A7C1E" w:tentative="1">
      <w:start w:val="1"/>
      <w:numFmt w:val="bullet"/>
      <w:lvlText w:val="o"/>
      <w:lvlJc w:val="left"/>
      <w:pPr>
        <w:ind w:left="3600" w:hanging="360"/>
      </w:pPr>
      <w:rPr>
        <w:rFonts w:ascii="Courier New" w:hAnsi="Courier New" w:cs="Courier New" w:hint="default"/>
      </w:rPr>
    </w:lvl>
    <w:lvl w:ilvl="5" w:tplc="2A4AA3EC" w:tentative="1">
      <w:start w:val="1"/>
      <w:numFmt w:val="bullet"/>
      <w:lvlText w:val=""/>
      <w:lvlJc w:val="left"/>
      <w:pPr>
        <w:ind w:left="4320" w:hanging="360"/>
      </w:pPr>
      <w:rPr>
        <w:rFonts w:ascii="Wingdings" w:hAnsi="Wingdings" w:hint="default"/>
      </w:rPr>
    </w:lvl>
    <w:lvl w:ilvl="6" w:tplc="2CE0D5E0" w:tentative="1">
      <w:start w:val="1"/>
      <w:numFmt w:val="bullet"/>
      <w:lvlText w:val=""/>
      <w:lvlJc w:val="left"/>
      <w:pPr>
        <w:ind w:left="5040" w:hanging="360"/>
      </w:pPr>
      <w:rPr>
        <w:rFonts w:ascii="Symbol" w:hAnsi="Symbol" w:hint="default"/>
      </w:rPr>
    </w:lvl>
    <w:lvl w:ilvl="7" w:tplc="B33A3C9E" w:tentative="1">
      <w:start w:val="1"/>
      <w:numFmt w:val="bullet"/>
      <w:lvlText w:val="o"/>
      <w:lvlJc w:val="left"/>
      <w:pPr>
        <w:ind w:left="5760" w:hanging="360"/>
      </w:pPr>
      <w:rPr>
        <w:rFonts w:ascii="Courier New" w:hAnsi="Courier New" w:cs="Courier New" w:hint="default"/>
      </w:rPr>
    </w:lvl>
    <w:lvl w:ilvl="8" w:tplc="FFC48BC8" w:tentative="1">
      <w:start w:val="1"/>
      <w:numFmt w:val="bullet"/>
      <w:lvlText w:val=""/>
      <w:lvlJc w:val="left"/>
      <w:pPr>
        <w:ind w:left="6480" w:hanging="360"/>
      </w:pPr>
      <w:rPr>
        <w:rFonts w:ascii="Wingdings" w:hAnsi="Wingdings" w:hint="default"/>
      </w:rPr>
    </w:lvl>
  </w:abstractNum>
  <w:abstractNum w:abstractNumId="5" w15:restartNumberingAfterBreak="0">
    <w:nsid w:val="4A671105"/>
    <w:multiLevelType w:val="multilevel"/>
    <w:tmpl w:val="4162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4246D1"/>
    <w:multiLevelType w:val="multilevel"/>
    <w:tmpl w:val="2CD8D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251865"/>
    <w:multiLevelType w:val="multilevel"/>
    <w:tmpl w:val="3558D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0D53D4"/>
    <w:multiLevelType w:val="multilevel"/>
    <w:tmpl w:val="4DEC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1D19D4"/>
    <w:multiLevelType w:val="multilevel"/>
    <w:tmpl w:val="00121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802181"/>
    <w:multiLevelType w:val="hybridMultilevel"/>
    <w:tmpl w:val="0AEA2446"/>
    <w:lvl w:ilvl="0" w:tplc="11402770">
      <w:start w:val="1"/>
      <w:numFmt w:val="bullet"/>
      <w:lvlText w:val=""/>
      <w:lvlJc w:val="left"/>
      <w:pPr>
        <w:ind w:left="720" w:hanging="360"/>
      </w:pPr>
      <w:rPr>
        <w:rFonts w:ascii="Symbol" w:hAnsi="Symbol" w:hint="default"/>
      </w:rPr>
    </w:lvl>
    <w:lvl w:ilvl="1" w:tplc="484E3B1E" w:tentative="1">
      <w:start w:val="1"/>
      <w:numFmt w:val="bullet"/>
      <w:lvlText w:val="o"/>
      <w:lvlJc w:val="left"/>
      <w:pPr>
        <w:ind w:left="1440" w:hanging="360"/>
      </w:pPr>
      <w:rPr>
        <w:rFonts w:ascii="Courier New" w:hAnsi="Courier New" w:cs="Courier New" w:hint="default"/>
      </w:rPr>
    </w:lvl>
    <w:lvl w:ilvl="2" w:tplc="40627C8C" w:tentative="1">
      <w:start w:val="1"/>
      <w:numFmt w:val="bullet"/>
      <w:lvlText w:val=""/>
      <w:lvlJc w:val="left"/>
      <w:pPr>
        <w:ind w:left="2160" w:hanging="360"/>
      </w:pPr>
      <w:rPr>
        <w:rFonts w:ascii="Wingdings" w:hAnsi="Wingdings" w:hint="default"/>
      </w:rPr>
    </w:lvl>
    <w:lvl w:ilvl="3" w:tplc="A5ECCEB0" w:tentative="1">
      <w:start w:val="1"/>
      <w:numFmt w:val="bullet"/>
      <w:lvlText w:val=""/>
      <w:lvlJc w:val="left"/>
      <w:pPr>
        <w:ind w:left="2880" w:hanging="360"/>
      </w:pPr>
      <w:rPr>
        <w:rFonts w:ascii="Symbol" w:hAnsi="Symbol" w:hint="default"/>
      </w:rPr>
    </w:lvl>
    <w:lvl w:ilvl="4" w:tplc="C86EBFC2" w:tentative="1">
      <w:start w:val="1"/>
      <w:numFmt w:val="bullet"/>
      <w:lvlText w:val="o"/>
      <w:lvlJc w:val="left"/>
      <w:pPr>
        <w:ind w:left="3600" w:hanging="360"/>
      </w:pPr>
      <w:rPr>
        <w:rFonts w:ascii="Courier New" w:hAnsi="Courier New" w:cs="Courier New" w:hint="default"/>
      </w:rPr>
    </w:lvl>
    <w:lvl w:ilvl="5" w:tplc="1B2A5F72" w:tentative="1">
      <w:start w:val="1"/>
      <w:numFmt w:val="bullet"/>
      <w:lvlText w:val=""/>
      <w:lvlJc w:val="left"/>
      <w:pPr>
        <w:ind w:left="4320" w:hanging="360"/>
      </w:pPr>
      <w:rPr>
        <w:rFonts w:ascii="Wingdings" w:hAnsi="Wingdings" w:hint="default"/>
      </w:rPr>
    </w:lvl>
    <w:lvl w:ilvl="6" w:tplc="EBD84E2E" w:tentative="1">
      <w:start w:val="1"/>
      <w:numFmt w:val="bullet"/>
      <w:lvlText w:val=""/>
      <w:lvlJc w:val="left"/>
      <w:pPr>
        <w:ind w:left="5040" w:hanging="360"/>
      </w:pPr>
      <w:rPr>
        <w:rFonts w:ascii="Symbol" w:hAnsi="Symbol" w:hint="default"/>
      </w:rPr>
    </w:lvl>
    <w:lvl w:ilvl="7" w:tplc="926CA048" w:tentative="1">
      <w:start w:val="1"/>
      <w:numFmt w:val="bullet"/>
      <w:lvlText w:val="o"/>
      <w:lvlJc w:val="left"/>
      <w:pPr>
        <w:ind w:left="5760" w:hanging="360"/>
      </w:pPr>
      <w:rPr>
        <w:rFonts w:ascii="Courier New" w:hAnsi="Courier New" w:cs="Courier New" w:hint="default"/>
      </w:rPr>
    </w:lvl>
    <w:lvl w:ilvl="8" w:tplc="8272B8CA" w:tentative="1">
      <w:start w:val="1"/>
      <w:numFmt w:val="bullet"/>
      <w:lvlText w:val=""/>
      <w:lvlJc w:val="left"/>
      <w:pPr>
        <w:ind w:left="6480" w:hanging="360"/>
      </w:pPr>
      <w:rPr>
        <w:rFonts w:ascii="Wingdings" w:hAnsi="Wingdings" w:hint="default"/>
      </w:rPr>
    </w:lvl>
  </w:abstractNum>
  <w:abstractNum w:abstractNumId="11" w15:restartNumberingAfterBreak="0">
    <w:nsid w:val="77AC6114"/>
    <w:multiLevelType w:val="multilevel"/>
    <w:tmpl w:val="27E8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9216D5"/>
    <w:multiLevelType w:val="multilevel"/>
    <w:tmpl w:val="4F0E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1988608">
    <w:abstractNumId w:val="5"/>
  </w:num>
  <w:num w:numId="2" w16cid:durableId="311326166">
    <w:abstractNumId w:val="2"/>
  </w:num>
  <w:num w:numId="3" w16cid:durableId="577860089">
    <w:abstractNumId w:val="0"/>
  </w:num>
  <w:num w:numId="4" w16cid:durableId="1388533506">
    <w:abstractNumId w:val="7"/>
  </w:num>
  <w:num w:numId="5" w16cid:durableId="166409341">
    <w:abstractNumId w:val="4"/>
  </w:num>
  <w:num w:numId="6" w16cid:durableId="514152868">
    <w:abstractNumId w:val="10"/>
  </w:num>
  <w:num w:numId="7" w16cid:durableId="1129204221">
    <w:abstractNumId w:val="3"/>
  </w:num>
  <w:num w:numId="8" w16cid:durableId="389764210">
    <w:abstractNumId w:val="1"/>
  </w:num>
  <w:num w:numId="9" w16cid:durableId="1992902841">
    <w:abstractNumId w:val="6"/>
  </w:num>
  <w:num w:numId="10" w16cid:durableId="769199471">
    <w:abstractNumId w:val="9"/>
  </w:num>
  <w:num w:numId="11" w16cid:durableId="1334456406">
    <w:abstractNumId w:val="8"/>
  </w:num>
  <w:num w:numId="12" w16cid:durableId="1038512832">
    <w:abstractNumId w:val="11"/>
  </w:num>
  <w:num w:numId="13" w16cid:durableId="1477453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7C"/>
    <w:rsid w:val="0000261E"/>
    <w:rsid w:val="00071858"/>
    <w:rsid w:val="00083A6F"/>
    <w:rsid w:val="00084D8A"/>
    <w:rsid w:val="000850E0"/>
    <w:rsid w:val="000919D1"/>
    <w:rsid w:val="000B07A3"/>
    <w:rsid w:val="000B6FAC"/>
    <w:rsid w:val="000C343A"/>
    <w:rsid w:val="000E2883"/>
    <w:rsid w:val="001048CD"/>
    <w:rsid w:val="001053A0"/>
    <w:rsid w:val="001321DA"/>
    <w:rsid w:val="00145F6D"/>
    <w:rsid w:val="0015675B"/>
    <w:rsid w:val="0019121C"/>
    <w:rsid w:val="001A6B6A"/>
    <w:rsid w:val="001E6DC2"/>
    <w:rsid w:val="001F295B"/>
    <w:rsid w:val="00213F3F"/>
    <w:rsid w:val="00215F3B"/>
    <w:rsid w:val="00264485"/>
    <w:rsid w:val="00267453"/>
    <w:rsid w:val="002A73A2"/>
    <w:rsid w:val="002C532B"/>
    <w:rsid w:val="002E6BA1"/>
    <w:rsid w:val="003119B4"/>
    <w:rsid w:val="00342B8A"/>
    <w:rsid w:val="003629FF"/>
    <w:rsid w:val="003663FE"/>
    <w:rsid w:val="0036738D"/>
    <w:rsid w:val="003B5393"/>
    <w:rsid w:val="0041096B"/>
    <w:rsid w:val="004648C9"/>
    <w:rsid w:val="00474A2E"/>
    <w:rsid w:val="004763BE"/>
    <w:rsid w:val="004B0D7E"/>
    <w:rsid w:val="004C2A3D"/>
    <w:rsid w:val="004D75BA"/>
    <w:rsid w:val="00525B7F"/>
    <w:rsid w:val="005405B1"/>
    <w:rsid w:val="005461E9"/>
    <w:rsid w:val="00554B7E"/>
    <w:rsid w:val="00562C4E"/>
    <w:rsid w:val="005679DC"/>
    <w:rsid w:val="00590150"/>
    <w:rsid w:val="005A794F"/>
    <w:rsid w:val="0067211C"/>
    <w:rsid w:val="00682AD3"/>
    <w:rsid w:val="006C130E"/>
    <w:rsid w:val="007078CC"/>
    <w:rsid w:val="007A26CC"/>
    <w:rsid w:val="007E167C"/>
    <w:rsid w:val="0082290A"/>
    <w:rsid w:val="0085733D"/>
    <w:rsid w:val="00866F77"/>
    <w:rsid w:val="00887FB8"/>
    <w:rsid w:val="008A07E1"/>
    <w:rsid w:val="008B54D5"/>
    <w:rsid w:val="008C73B1"/>
    <w:rsid w:val="008D6CF7"/>
    <w:rsid w:val="008F6090"/>
    <w:rsid w:val="00914A2E"/>
    <w:rsid w:val="0092160B"/>
    <w:rsid w:val="009E330F"/>
    <w:rsid w:val="00A31061"/>
    <w:rsid w:val="00A62F06"/>
    <w:rsid w:val="00A92B64"/>
    <w:rsid w:val="00AA17BD"/>
    <w:rsid w:val="00AA33F9"/>
    <w:rsid w:val="00B05CD6"/>
    <w:rsid w:val="00B12C6F"/>
    <w:rsid w:val="00B26601"/>
    <w:rsid w:val="00B701F3"/>
    <w:rsid w:val="00BB21E7"/>
    <w:rsid w:val="00BB7EBC"/>
    <w:rsid w:val="00C1013E"/>
    <w:rsid w:val="00C57493"/>
    <w:rsid w:val="00C84D45"/>
    <w:rsid w:val="00C94F15"/>
    <w:rsid w:val="00CA73CD"/>
    <w:rsid w:val="00CB3EA5"/>
    <w:rsid w:val="00CD42A9"/>
    <w:rsid w:val="00D20BB0"/>
    <w:rsid w:val="00D96380"/>
    <w:rsid w:val="00DA205F"/>
    <w:rsid w:val="00DC278A"/>
    <w:rsid w:val="00DC6DEC"/>
    <w:rsid w:val="00E5610C"/>
    <w:rsid w:val="00E84D98"/>
    <w:rsid w:val="00F1231D"/>
    <w:rsid w:val="00F2667E"/>
    <w:rsid w:val="00F70866"/>
    <w:rsid w:val="00F876B3"/>
    <w:rsid w:val="00FB46DF"/>
    <w:rsid w:val="00FD73DE"/>
    <w:rsid w:val="01BBBF5D"/>
    <w:rsid w:val="024BEBE1"/>
    <w:rsid w:val="048C0E2A"/>
    <w:rsid w:val="0BF01B0B"/>
    <w:rsid w:val="1049DC67"/>
    <w:rsid w:val="164A070D"/>
    <w:rsid w:val="1F0B1DA1"/>
    <w:rsid w:val="212534B1"/>
    <w:rsid w:val="24A87BFD"/>
    <w:rsid w:val="26EB46DD"/>
    <w:rsid w:val="2B5B5A35"/>
    <w:rsid w:val="2D73A3F6"/>
    <w:rsid w:val="3543881B"/>
    <w:rsid w:val="35C8196F"/>
    <w:rsid w:val="3ADFB821"/>
    <w:rsid w:val="424F3746"/>
    <w:rsid w:val="4634F15C"/>
    <w:rsid w:val="48ED4821"/>
    <w:rsid w:val="4C6E0786"/>
    <w:rsid w:val="4FAAC6B0"/>
    <w:rsid w:val="500B4BAA"/>
    <w:rsid w:val="5A9D06CD"/>
    <w:rsid w:val="62DF8F35"/>
    <w:rsid w:val="6408B92C"/>
    <w:rsid w:val="6E61007C"/>
    <w:rsid w:val="70FD29C7"/>
    <w:rsid w:val="71172000"/>
    <w:rsid w:val="7412D9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025F"/>
  <w15:chartTrackingRefBased/>
  <w15:docId w15:val="{8C35409F-C528-4C4C-B251-5B0F1D2F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7C"/>
    <w:rPr>
      <w:rFonts w:ascii="Arial" w:hAnsi="Arial"/>
      <w:sz w:val="20"/>
    </w:rPr>
  </w:style>
  <w:style w:type="paragraph" w:styleId="Heading1">
    <w:name w:val="heading 1"/>
    <w:basedOn w:val="Normal"/>
    <w:next w:val="Normal"/>
    <w:link w:val="Heading1Char"/>
    <w:uiPriority w:val="9"/>
    <w:qFormat/>
    <w:rsid w:val="007E167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E167C"/>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7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E167C"/>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7E167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E167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E167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E167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E167C"/>
    <w:rPr>
      <w:rFonts w:ascii="Arial" w:hAnsi="Arial"/>
      <w:i/>
      <w:iCs/>
      <w:color w:val="404040" w:themeColor="text1" w:themeTint="BF"/>
    </w:rPr>
  </w:style>
  <w:style w:type="character" w:styleId="Emphasis">
    <w:name w:val="Emphasis"/>
    <w:basedOn w:val="DefaultParagraphFont"/>
    <w:uiPriority w:val="20"/>
    <w:qFormat/>
    <w:rsid w:val="007E167C"/>
    <w:rPr>
      <w:rFonts w:ascii="Arial" w:hAnsi="Arial"/>
      <w:i/>
      <w:iCs/>
    </w:rPr>
  </w:style>
  <w:style w:type="character" w:styleId="IntenseEmphasis">
    <w:name w:val="Intense Emphasis"/>
    <w:basedOn w:val="DefaultParagraphFont"/>
    <w:uiPriority w:val="21"/>
    <w:qFormat/>
    <w:rsid w:val="007E167C"/>
    <w:rPr>
      <w:rFonts w:ascii="Arial" w:hAnsi="Arial"/>
      <w:i/>
      <w:iCs/>
      <w:color w:val="5B9BD5" w:themeColor="accent1"/>
    </w:rPr>
  </w:style>
  <w:style w:type="character" w:styleId="Strong">
    <w:name w:val="Strong"/>
    <w:basedOn w:val="DefaultParagraphFont"/>
    <w:uiPriority w:val="22"/>
    <w:qFormat/>
    <w:rsid w:val="007E167C"/>
    <w:rPr>
      <w:rFonts w:ascii="Arial" w:hAnsi="Arial"/>
      <w:b/>
      <w:bCs/>
    </w:rPr>
  </w:style>
  <w:style w:type="paragraph" w:styleId="IntenseQuote">
    <w:name w:val="Intense Quote"/>
    <w:basedOn w:val="Normal"/>
    <w:next w:val="Normal"/>
    <w:link w:val="IntenseQuoteChar"/>
    <w:uiPriority w:val="30"/>
    <w:qFormat/>
    <w:rsid w:val="007E16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E167C"/>
    <w:rPr>
      <w:rFonts w:ascii="Arial" w:hAnsi="Arial"/>
      <w:i/>
      <w:iCs/>
      <w:color w:val="5B9BD5" w:themeColor="accent1"/>
      <w:sz w:val="20"/>
    </w:rPr>
  </w:style>
  <w:style w:type="character" w:styleId="SubtleReference">
    <w:name w:val="Subtle Reference"/>
    <w:basedOn w:val="DefaultParagraphFont"/>
    <w:uiPriority w:val="31"/>
    <w:qFormat/>
    <w:rsid w:val="007E167C"/>
    <w:rPr>
      <w:rFonts w:ascii="Arial" w:hAnsi="Arial"/>
      <w:smallCaps/>
      <w:color w:val="5A5A5A" w:themeColor="text1" w:themeTint="A5"/>
    </w:rPr>
  </w:style>
  <w:style w:type="character" w:styleId="IntenseReference">
    <w:name w:val="Intense Reference"/>
    <w:basedOn w:val="DefaultParagraphFont"/>
    <w:uiPriority w:val="32"/>
    <w:qFormat/>
    <w:rsid w:val="007E167C"/>
    <w:rPr>
      <w:rFonts w:ascii="Arial" w:hAnsi="Arial"/>
      <w:b/>
      <w:bCs/>
      <w:smallCaps/>
      <w:color w:val="5B9BD5" w:themeColor="accent1"/>
      <w:spacing w:val="5"/>
    </w:rPr>
  </w:style>
  <w:style w:type="character" w:styleId="BookTitle">
    <w:name w:val="Book Title"/>
    <w:basedOn w:val="DefaultParagraphFont"/>
    <w:uiPriority w:val="33"/>
    <w:qFormat/>
    <w:rsid w:val="007E167C"/>
    <w:rPr>
      <w:rFonts w:ascii="Arial" w:hAnsi="Arial"/>
      <w:b/>
      <w:bCs/>
      <w:i/>
      <w:iCs/>
      <w:spacing w:val="5"/>
    </w:rPr>
  </w:style>
  <w:style w:type="paragraph" w:styleId="ListParagraph">
    <w:name w:val="List Paragraph"/>
    <w:basedOn w:val="Normal"/>
    <w:uiPriority w:val="34"/>
    <w:qFormat/>
    <w:rsid w:val="007E167C"/>
    <w:pPr>
      <w:ind w:left="720"/>
      <w:contextualSpacing/>
    </w:pPr>
  </w:style>
  <w:style w:type="paragraph" w:styleId="Header">
    <w:name w:val="header"/>
    <w:basedOn w:val="Normal"/>
    <w:link w:val="HeaderChar"/>
    <w:uiPriority w:val="99"/>
    <w:unhideWhenUsed/>
    <w:rsid w:val="007E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7C"/>
    <w:rPr>
      <w:rFonts w:ascii="Arial" w:hAnsi="Arial"/>
      <w:sz w:val="20"/>
    </w:rPr>
  </w:style>
  <w:style w:type="paragraph" w:styleId="Footer">
    <w:name w:val="footer"/>
    <w:basedOn w:val="Normal"/>
    <w:link w:val="FooterChar"/>
    <w:uiPriority w:val="99"/>
    <w:unhideWhenUsed/>
    <w:rsid w:val="007E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7C"/>
    <w:rPr>
      <w:rFonts w:ascii="Arial" w:hAnsi="Arial"/>
      <w:sz w:val="20"/>
    </w:rPr>
  </w:style>
  <w:style w:type="table" w:styleId="TableGrid">
    <w:name w:val="Table Grid"/>
    <w:basedOn w:val="TableNormal"/>
    <w:uiPriority w:val="59"/>
    <w:rsid w:val="007E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E167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CommentReference">
    <w:name w:val="annotation reference"/>
    <w:basedOn w:val="DefaultParagraphFont"/>
    <w:uiPriority w:val="99"/>
    <w:semiHidden/>
    <w:unhideWhenUsed/>
    <w:rsid w:val="004648C9"/>
    <w:rPr>
      <w:sz w:val="16"/>
      <w:szCs w:val="16"/>
    </w:rPr>
  </w:style>
  <w:style w:type="paragraph" w:styleId="CommentText">
    <w:name w:val="annotation text"/>
    <w:basedOn w:val="Normal"/>
    <w:link w:val="CommentTextChar"/>
    <w:uiPriority w:val="99"/>
    <w:unhideWhenUsed/>
    <w:rsid w:val="004648C9"/>
    <w:pPr>
      <w:spacing w:line="240" w:lineRule="auto"/>
    </w:pPr>
    <w:rPr>
      <w:szCs w:val="20"/>
    </w:rPr>
  </w:style>
  <w:style w:type="character" w:customStyle="1" w:styleId="CommentTextChar">
    <w:name w:val="Comment Text Char"/>
    <w:basedOn w:val="DefaultParagraphFont"/>
    <w:link w:val="CommentText"/>
    <w:uiPriority w:val="99"/>
    <w:rsid w:val="004648C9"/>
    <w:rPr>
      <w:rFonts w:ascii="Arial" w:hAnsi="Arial"/>
      <w:sz w:val="20"/>
      <w:szCs w:val="20"/>
      <w:lang w:val="fr-CA"/>
    </w:rPr>
  </w:style>
  <w:style w:type="character" w:customStyle="1" w:styleId="normaltextrun">
    <w:name w:val="normaltextrun"/>
    <w:basedOn w:val="DefaultParagraphFont"/>
    <w:rsid w:val="004648C9"/>
  </w:style>
  <w:style w:type="character" w:customStyle="1" w:styleId="eop">
    <w:name w:val="eop"/>
    <w:basedOn w:val="DefaultParagraphFont"/>
    <w:rsid w:val="004648C9"/>
  </w:style>
  <w:style w:type="paragraph" w:customStyle="1" w:styleId="paragraph">
    <w:name w:val="paragraph"/>
    <w:basedOn w:val="Normal"/>
    <w:rsid w:val="001567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130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26601"/>
    <w:rPr>
      <w:b/>
      <w:bCs/>
    </w:rPr>
  </w:style>
  <w:style w:type="character" w:customStyle="1" w:styleId="CommentSubjectChar">
    <w:name w:val="Comment Subject Char"/>
    <w:basedOn w:val="CommentTextChar"/>
    <w:link w:val="CommentSubject"/>
    <w:uiPriority w:val="99"/>
    <w:semiHidden/>
    <w:rsid w:val="00B26601"/>
    <w:rPr>
      <w:rFonts w:ascii="Arial" w:hAnsi="Arial"/>
      <w:b/>
      <w:bCs/>
      <w:sz w:val="20"/>
      <w:szCs w:val="20"/>
      <w:lang w:val="fr-CA"/>
    </w:rPr>
  </w:style>
  <w:style w:type="paragraph" w:styleId="NormalWeb">
    <w:name w:val="Normal (Web)"/>
    <w:basedOn w:val="Normal"/>
    <w:uiPriority w:val="99"/>
    <w:unhideWhenUsed/>
    <w:rsid w:val="001048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quitablebank.ca/fr/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110A33AC5D446A765AAFD2C41A8E1" ma:contentTypeVersion="22" ma:contentTypeDescription="Create a new document." ma:contentTypeScope="" ma:versionID="fe1253d01a7fa8da0d8f33d6d052cb93">
  <xsd:schema xmlns:xsd="http://www.w3.org/2001/XMLSchema" xmlns:xs="http://www.w3.org/2001/XMLSchema" xmlns:p="http://schemas.microsoft.com/office/2006/metadata/properties" xmlns:ns1="http://schemas.microsoft.com/sharepoint/v3" xmlns:ns2="2c8ce560-9588-47fa-a002-ecdc47fc9f60" xmlns:ns3="738a3b53-50ef-46c8-8a2f-fb687a9fb44f" targetNamespace="http://schemas.microsoft.com/office/2006/metadata/properties" ma:root="true" ma:fieldsID="9325fac972fb1d1f392464cc4f7c9242" ns1:_="" ns2:_="" ns3:_="">
    <xsd:import namespace="http://schemas.microsoft.com/sharepoint/v3"/>
    <xsd:import namespace="2c8ce560-9588-47fa-a002-ecdc47fc9f60"/>
    <xsd:import namespace="738a3b53-50ef-46c8-8a2f-fb687a9fb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ce560-9588-47fa-a002-ecdc47f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86423e-5b7b-443c-a3f0-5d8414b2fb6c"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a3b53-50ef-46c8-8a2f-fb687a9fb4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5926d1-df91-40ea-9859-a10d80d9b9c2}" ma:internalName="TaxCatchAll" ma:showField="CatchAllData" ma:web="738a3b53-50ef-46c8-8a2f-fb687a9fb4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c8ce560-9588-47fa-a002-ecdc47fc9f60">
      <Terms xmlns="http://schemas.microsoft.com/office/infopath/2007/PartnerControls"/>
    </lcf76f155ced4ddcb4097134ff3c332f>
    <TaxCatchAll xmlns="738a3b53-50ef-46c8-8a2f-fb687a9fb44f" xsi:nil="true"/>
  </documentManagement>
</p:properties>
</file>

<file path=customXml/itemProps1.xml><?xml version="1.0" encoding="utf-8"?>
<ds:datastoreItem xmlns:ds="http://schemas.openxmlformats.org/officeDocument/2006/customXml" ds:itemID="{CE583A21-D2C4-42AC-B6C8-6A2ED5001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8ce560-9588-47fa-a002-ecdc47fc9f60"/>
    <ds:schemaRef ds:uri="738a3b53-50ef-46c8-8a2f-fb687a9fb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56981-BE1B-47C2-A6D9-33428169E885}">
  <ds:schemaRefs>
    <ds:schemaRef ds:uri="http://schemas.microsoft.com/sharepoint/v3/contenttype/forms"/>
  </ds:schemaRefs>
</ds:datastoreItem>
</file>

<file path=customXml/itemProps3.xml><?xml version="1.0" encoding="utf-8"?>
<ds:datastoreItem xmlns:ds="http://schemas.openxmlformats.org/officeDocument/2006/customXml" ds:itemID="{F5B5888E-A5D0-4509-A4C7-D2C773F3F137}">
  <ds:schemaRefs>
    <ds:schemaRef ds:uri="http://schemas.microsoft.com/office/2006/metadata/properties"/>
    <ds:schemaRef ds:uri="http://schemas.microsoft.com/office/infopath/2007/PartnerControls"/>
    <ds:schemaRef ds:uri="http://schemas.microsoft.com/sharepoint/v3"/>
    <ds:schemaRef ds:uri="2c8ce560-9588-47fa-a002-ecdc47fc9f60"/>
    <ds:schemaRef ds:uri="738a3b53-50ef-46c8-8a2f-fb687a9fb44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Equitable Bank</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Magsisi</dc:creator>
  <cp:lastModifiedBy>Franca Barrantes</cp:lastModifiedBy>
  <cp:revision>8</cp:revision>
  <dcterms:created xsi:type="dcterms:W3CDTF">2024-09-03T17:15:00Z</dcterms:created>
  <dcterms:modified xsi:type="dcterms:W3CDTF">2025-05-13T17:33:00Z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0x010100342110A33AC5D446A765AAFD2C41A8E1</vt:lpwstr>
  </property>
  <property fmtid="{D5CDD505-2E9C-101B-9397-08002B2CF9AE}" pid="3" name="MediaServiceImageTags">
    <vt:lpwstr/>
  </property>
</Properties>
</file>